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5266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5C5266">
      <w:pPr>
        <w:ind w:left="-426"/>
        <w:rPr>
          <w:rFonts w:ascii="Arial" w:hAnsi="Arial" w:cs="Arial"/>
          <w:sz w:val="20"/>
        </w:rPr>
      </w:pPr>
    </w:p>
    <w:p w:rsidR="00000000" w:rsidRDefault="005C5266">
      <w:pPr>
        <w:pStyle w:val="Subtitle"/>
        <w:ind w:left="-426"/>
        <w:jc w:val="center"/>
      </w:pPr>
      <w:r>
        <w:t>Framhaldspróf í kontrabassa- og rafbassaleik</w:t>
      </w:r>
    </w:p>
    <w:p w:rsidR="00000000" w:rsidRDefault="005C5266">
      <w:pPr>
        <w:ind w:left="-426"/>
        <w:rPr>
          <w:rFonts w:ascii="Arial" w:hAnsi="Arial" w:cs="Arial"/>
          <w:sz w:val="20"/>
        </w:rPr>
      </w:pPr>
    </w:p>
    <w:p w:rsidR="00000000" w:rsidRDefault="005C5266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5C5266">
      <w:pPr>
        <w:pStyle w:val="BodyText"/>
        <w:ind w:left="-426"/>
      </w:pPr>
    </w:p>
    <w:p w:rsidR="00000000" w:rsidRDefault="005C5266">
      <w:pPr>
        <w:pStyle w:val="BodyText"/>
        <w:ind w:left="-426"/>
        <w:rPr>
          <w:b/>
        </w:rPr>
      </w:pPr>
      <w:r>
        <w:t>Mikilvægt er að vanda útfyllingu. Vinsamle</w:t>
      </w:r>
      <w:r>
        <w:t>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5C5266">
      <w:pPr>
        <w:pStyle w:val="BodyText"/>
        <w:ind w:left="-426"/>
        <w:rPr>
          <w:b/>
        </w:rPr>
      </w:pPr>
    </w:p>
    <w:p w:rsidR="00000000" w:rsidRDefault="005C5266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5C5266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5C5266">
            <w:pPr>
              <w:pStyle w:val="BodyText"/>
            </w:pPr>
            <w:r>
              <w:t>(Miðað er við ná</w:t>
            </w:r>
            <w:r>
              <w:t>mskrá í rytmískri tónlist.)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5C5266">
            <w:pPr>
              <w:pStyle w:val="BodyText"/>
            </w:pPr>
            <w:r>
              <w:t>- Kunnátta samsvarar rytmísku framhaldsprófi.</w:t>
            </w:r>
          </w:p>
          <w:p w:rsidR="00000000" w:rsidRDefault="005C5266">
            <w:pPr>
              <w:pStyle w:val="BodyText"/>
            </w:pPr>
            <w:r>
              <w:t>- Kunnátta er minni en kröfur til rytmísks framhaldsprófs en er a.m.k. samsvarandi miðprófskröfum.</w:t>
            </w:r>
          </w:p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t>- Minni kunnátta en samsvarar rytmísku miðprófi.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5C5266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5C526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5C526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Verk af s</w:t>
            </w:r>
            <w:r>
              <w:rPr>
                <w:b/>
                <w:bCs w:val="0"/>
              </w:rPr>
              <w:t>afnlista</w:t>
            </w:r>
          </w:p>
          <w:p w:rsidR="00000000" w:rsidRDefault="005C5266">
            <w:pPr>
              <w:pStyle w:val="BodyText"/>
              <w:rPr>
                <w:sz w:val="8"/>
              </w:rPr>
            </w:pPr>
          </w:p>
          <w:p w:rsidR="00000000" w:rsidRDefault="005C526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32 safnlistalög (heiti verka og höfunda) og hvaða lög (a.m.k 16) eru flutt með laglínu.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  <w:r>
              <w:t xml:space="preserve">1. </w:t>
            </w:r>
          </w:p>
          <w:p w:rsidR="00000000" w:rsidRDefault="005C5266">
            <w:pPr>
              <w:pStyle w:val="BodyText"/>
            </w:pPr>
            <w:r>
              <w:t xml:space="preserve">2. </w:t>
            </w:r>
          </w:p>
          <w:p w:rsidR="00000000" w:rsidRDefault="005C5266">
            <w:pPr>
              <w:pStyle w:val="BodyText"/>
            </w:pPr>
            <w:r>
              <w:t xml:space="preserve">3. </w:t>
            </w:r>
          </w:p>
          <w:p w:rsidR="00000000" w:rsidRDefault="005C5266">
            <w:pPr>
              <w:pStyle w:val="BodyText"/>
            </w:pPr>
            <w:r>
              <w:t xml:space="preserve">4. </w:t>
            </w:r>
          </w:p>
          <w:p w:rsidR="00000000" w:rsidRDefault="005C5266">
            <w:pPr>
              <w:pStyle w:val="BodyText"/>
            </w:pPr>
            <w:r>
              <w:t xml:space="preserve">5. </w:t>
            </w:r>
          </w:p>
          <w:p w:rsidR="00000000" w:rsidRDefault="005C5266">
            <w:pPr>
              <w:pStyle w:val="BodyText"/>
            </w:pPr>
            <w:r>
              <w:t xml:space="preserve">6. </w:t>
            </w:r>
          </w:p>
          <w:p w:rsidR="00000000" w:rsidRDefault="005C5266">
            <w:pPr>
              <w:pStyle w:val="BodyText"/>
            </w:pPr>
            <w:r>
              <w:t xml:space="preserve">7. </w:t>
            </w:r>
          </w:p>
          <w:p w:rsidR="00000000" w:rsidRDefault="005C5266">
            <w:pPr>
              <w:pStyle w:val="BodyText"/>
            </w:pPr>
            <w:r>
              <w:t xml:space="preserve">8. </w:t>
            </w:r>
          </w:p>
          <w:p w:rsidR="00000000" w:rsidRDefault="005C5266">
            <w:pPr>
              <w:pStyle w:val="BodyText"/>
            </w:pPr>
            <w:r>
              <w:t xml:space="preserve">9. </w:t>
            </w:r>
          </w:p>
          <w:p w:rsidR="00000000" w:rsidRDefault="005C5266">
            <w:pPr>
              <w:pStyle w:val="BodyText"/>
            </w:pPr>
            <w:r>
              <w:t xml:space="preserve">10. </w:t>
            </w:r>
          </w:p>
          <w:p w:rsidR="00000000" w:rsidRDefault="005C5266">
            <w:pPr>
              <w:pStyle w:val="BodyText"/>
            </w:pPr>
            <w:r>
              <w:t xml:space="preserve">11. </w:t>
            </w:r>
          </w:p>
          <w:p w:rsidR="00000000" w:rsidRDefault="005C5266">
            <w:pPr>
              <w:pStyle w:val="BodyText"/>
            </w:pPr>
            <w:r>
              <w:t xml:space="preserve">12. </w:t>
            </w:r>
          </w:p>
          <w:p w:rsidR="00000000" w:rsidRDefault="005C5266">
            <w:pPr>
              <w:pStyle w:val="BodyText"/>
            </w:pPr>
            <w:r>
              <w:t xml:space="preserve">13. </w:t>
            </w:r>
          </w:p>
          <w:p w:rsidR="00000000" w:rsidRDefault="005C5266">
            <w:pPr>
              <w:pStyle w:val="BodyText"/>
            </w:pPr>
            <w:r>
              <w:t xml:space="preserve">14. </w:t>
            </w:r>
          </w:p>
          <w:p w:rsidR="00000000" w:rsidRDefault="005C5266">
            <w:pPr>
              <w:pStyle w:val="BodyText"/>
            </w:pPr>
            <w:r>
              <w:t xml:space="preserve">15. </w:t>
            </w:r>
          </w:p>
          <w:p w:rsidR="00000000" w:rsidRDefault="005C5266">
            <w:pPr>
              <w:pStyle w:val="BodyText"/>
            </w:pPr>
            <w:r>
              <w:t xml:space="preserve">16. </w:t>
            </w:r>
          </w:p>
          <w:p w:rsidR="00000000" w:rsidRDefault="005C5266">
            <w:pPr>
              <w:pStyle w:val="BodyText"/>
            </w:pPr>
            <w:r>
              <w:t xml:space="preserve">17. </w:t>
            </w:r>
          </w:p>
          <w:p w:rsidR="00000000" w:rsidRDefault="005C5266">
            <w:pPr>
              <w:pStyle w:val="BodyText"/>
            </w:pPr>
            <w:r>
              <w:t xml:space="preserve">18. </w:t>
            </w:r>
          </w:p>
          <w:p w:rsidR="00000000" w:rsidRDefault="005C5266">
            <w:pPr>
              <w:pStyle w:val="BodyText"/>
            </w:pPr>
            <w:r>
              <w:t xml:space="preserve">19. </w:t>
            </w:r>
          </w:p>
          <w:p w:rsidR="00000000" w:rsidRDefault="005C5266">
            <w:pPr>
              <w:pStyle w:val="BodyText"/>
            </w:pPr>
            <w:r>
              <w:t xml:space="preserve">20. </w:t>
            </w:r>
          </w:p>
          <w:p w:rsidR="00000000" w:rsidRDefault="005C5266">
            <w:pPr>
              <w:pStyle w:val="BodyText"/>
            </w:pPr>
            <w:r>
              <w:t>2</w:t>
            </w:r>
            <w:r>
              <w:t xml:space="preserve">1. </w:t>
            </w:r>
          </w:p>
          <w:p w:rsidR="00000000" w:rsidRDefault="005C5266">
            <w:pPr>
              <w:pStyle w:val="BodyText"/>
            </w:pPr>
            <w:r>
              <w:t xml:space="preserve">22. </w:t>
            </w:r>
          </w:p>
          <w:p w:rsidR="00000000" w:rsidRDefault="005C5266">
            <w:pPr>
              <w:pStyle w:val="BodyText"/>
            </w:pPr>
            <w:r>
              <w:t xml:space="preserve">23. </w:t>
            </w:r>
          </w:p>
          <w:p w:rsidR="00000000" w:rsidRDefault="005C5266">
            <w:pPr>
              <w:pStyle w:val="BodyText"/>
            </w:pPr>
            <w:r>
              <w:t xml:space="preserve">24. </w:t>
            </w:r>
          </w:p>
          <w:p w:rsidR="00000000" w:rsidRDefault="005C5266">
            <w:pPr>
              <w:pStyle w:val="BodyText"/>
            </w:pPr>
            <w:r>
              <w:t xml:space="preserve">25. </w:t>
            </w:r>
          </w:p>
          <w:p w:rsidR="00000000" w:rsidRDefault="005C5266">
            <w:pPr>
              <w:pStyle w:val="BodyText"/>
            </w:pPr>
            <w:r>
              <w:t xml:space="preserve">26. </w:t>
            </w:r>
          </w:p>
          <w:p w:rsidR="00000000" w:rsidRDefault="005C5266">
            <w:pPr>
              <w:pStyle w:val="BodyText"/>
            </w:pPr>
            <w:r>
              <w:t xml:space="preserve">27. </w:t>
            </w:r>
          </w:p>
          <w:p w:rsidR="00000000" w:rsidRDefault="005C5266">
            <w:pPr>
              <w:pStyle w:val="BodyText"/>
            </w:pPr>
            <w:r>
              <w:t xml:space="preserve">28. </w:t>
            </w:r>
          </w:p>
          <w:p w:rsidR="00000000" w:rsidRDefault="005C5266">
            <w:pPr>
              <w:pStyle w:val="BodyText"/>
            </w:pPr>
            <w:r>
              <w:t xml:space="preserve">29. </w:t>
            </w:r>
          </w:p>
          <w:p w:rsidR="00000000" w:rsidRDefault="005C5266">
            <w:pPr>
              <w:pStyle w:val="BodyText"/>
            </w:pPr>
            <w:r>
              <w:t xml:space="preserve">30. </w:t>
            </w:r>
          </w:p>
          <w:p w:rsidR="00000000" w:rsidRDefault="005C5266">
            <w:pPr>
              <w:pStyle w:val="BodyText"/>
            </w:pPr>
            <w:r>
              <w:t xml:space="preserve">31. </w:t>
            </w:r>
          </w:p>
          <w:p w:rsidR="00000000" w:rsidRDefault="005C5266">
            <w:pPr>
              <w:pStyle w:val="BodyText"/>
            </w:pPr>
            <w:r>
              <w:t>32.</w:t>
            </w:r>
          </w:p>
        </w:tc>
        <w:tc>
          <w:tcPr>
            <w:tcW w:w="3326" w:type="dxa"/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Upprit</w:t>
            </w:r>
          </w:p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 verks og upprunalegur flytjandi.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</w:t>
            </w:r>
          </w:p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:rsidR="00000000" w:rsidRDefault="005C526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5C5266">
            <w:pPr>
              <w:pStyle w:val="BodyText"/>
            </w:pPr>
            <w:r>
              <w:t>- Frumsamið verk/útsetning</w:t>
            </w:r>
          </w:p>
          <w:p w:rsidR="00000000" w:rsidRDefault="005C5266">
            <w:pPr>
              <w:pStyle w:val="BodyText"/>
            </w:pPr>
            <w:r>
              <w:t>- Verk að eigin vali</w:t>
            </w:r>
          </w:p>
          <w:p w:rsidR="00000000" w:rsidRDefault="005C5266">
            <w:pPr>
              <w:pStyle w:val="BodyText"/>
            </w:pPr>
            <w:r>
              <w:t>- Annað hljóðfæri úr sömu fjölskyldu. (Tilgreinið hljóðfæri)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</w:t>
            </w:r>
            <w:r>
              <w:rPr>
                <w:b/>
                <w:bCs w:val="0"/>
              </w:rPr>
              <w:t>rsvipur</w:t>
            </w:r>
          </w:p>
          <w:p w:rsidR="00000000" w:rsidRDefault="005C5266">
            <w:pPr>
              <w:pStyle w:val="BodyText"/>
              <w:rPr>
                <w:b/>
                <w:bCs w:val="0"/>
              </w:rPr>
            </w:pPr>
          </w:p>
          <w:p w:rsidR="00000000" w:rsidRDefault="005C526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5C5266">
            <w:pPr>
              <w:pStyle w:val="BodyText"/>
              <w:jc w:val="center"/>
            </w:pPr>
          </w:p>
          <w:p w:rsidR="00000000" w:rsidRDefault="005C5266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5C526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5C526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5C5266">
            <w:pPr>
              <w:pStyle w:val="BodyText"/>
            </w:pPr>
          </w:p>
          <w:p w:rsidR="00000000" w:rsidRDefault="005C526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5C5266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5C5266">
            <w:pPr>
              <w:pStyle w:val="BodyText"/>
              <w:jc w:val="center"/>
            </w:pPr>
          </w:p>
          <w:p w:rsidR="00000000" w:rsidRDefault="005C5266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5C5266">
            <w:pPr>
              <w:pStyle w:val="BodyText"/>
              <w:rPr>
                <w:sz w:val="16"/>
              </w:rPr>
            </w:pPr>
          </w:p>
        </w:tc>
      </w:tr>
    </w:tbl>
    <w:p w:rsidR="00000000" w:rsidRDefault="005C5266">
      <w:pPr>
        <w:pStyle w:val="BodyText"/>
      </w:pPr>
    </w:p>
    <w:p w:rsidR="00000000" w:rsidRDefault="005C5266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5C5266">
      <w:pPr>
        <w:rPr>
          <w:rFonts w:ascii="Arial" w:hAnsi="Arial" w:cs="Arial"/>
          <w:sz w:val="20"/>
        </w:rPr>
      </w:pPr>
    </w:p>
    <w:p w:rsidR="005C5266" w:rsidRDefault="005C5266">
      <w:pPr>
        <w:pStyle w:val="BodyText"/>
      </w:pPr>
    </w:p>
    <w:sectPr w:rsidR="005C5266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66" w:rsidRDefault="005C5266">
      <w:r>
        <w:separator/>
      </w:r>
    </w:p>
  </w:endnote>
  <w:endnote w:type="continuationSeparator" w:id="0">
    <w:p w:rsidR="005C5266" w:rsidRDefault="005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66" w:rsidRDefault="005C5266">
      <w:r>
        <w:separator/>
      </w:r>
    </w:p>
  </w:footnote>
  <w:footnote w:type="continuationSeparator" w:id="0">
    <w:p w:rsidR="005C5266" w:rsidRDefault="005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52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C526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52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463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5C5266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Framhaldspróf í kontrabassa- og rafbassaleik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5266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3"/>
    <w:rsid w:val="001A4463"/>
    <w:rsid w:val="005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2019-12-17T21:44:00Z</dcterms:created>
  <dcterms:modified xsi:type="dcterms:W3CDTF">2019-12-17T21:44:00Z</dcterms:modified>
</cp:coreProperties>
</file>